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45" w:rsidRDefault="006F1245" w:rsidP="006F1245">
      <w:pPr>
        <w:jc w:val="center"/>
        <w:rPr>
          <w:b/>
          <w:bCs/>
          <w:u w:val="single"/>
        </w:rPr>
      </w:pPr>
      <w:bookmarkStart w:id="0" w:name="_GoBack"/>
      <w:bookmarkEnd w:id="0"/>
      <w:r>
        <w:rPr>
          <w:b/>
          <w:bCs/>
          <w:u w:val="single"/>
        </w:rPr>
        <w:t>National Tsunami Hazard Mitigation Program and U.S. Coast Guard Work Group on:</w:t>
      </w:r>
    </w:p>
    <w:p w:rsidR="006F1245" w:rsidRDefault="006F1245" w:rsidP="006F1245">
      <w:pPr>
        <w:jc w:val="center"/>
        <w:rPr>
          <w:b/>
          <w:bCs/>
          <w:u w:val="single"/>
        </w:rPr>
      </w:pPr>
      <w:r>
        <w:rPr>
          <w:b/>
          <w:bCs/>
          <w:u w:val="single"/>
        </w:rPr>
        <w:t>Maritime Vessel Evacuation – Minimum Offshore Safe Depths</w:t>
      </w:r>
    </w:p>
    <w:p w:rsidR="006F1245" w:rsidRDefault="006F1245" w:rsidP="006F1245">
      <w:pPr>
        <w:rPr>
          <w:b/>
          <w:bCs/>
          <w:u w:val="single"/>
        </w:rPr>
      </w:pPr>
    </w:p>
    <w:p w:rsidR="006F1245" w:rsidRDefault="006F1245" w:rsidP="006F1245">
      <w:pPr>
        <w:rPr>
          <w:b/>
          <w:bCs/>
          <w:u w:val="single"/>
        </w:rPr>
      </w:pPr>
      <w:r>
        <w:rPr>
          <w:b/>
          <w:bCs/>
          <w:u w:val="single"/>
        </w:rPr>
        <w:t>General Recommendations for Recreational and Commercial Boaters:</w:t>
      </w:r>
    </w:p>
    <w:p w:rsidR="006F1245" w:rsidRPr="006F1245" w:rsidRDefault="006F1245" w:rsidP="006F1245">
      <w:pPr>
        <w:rPr>
          <w:bCs/>
          <w:i/>
          <w:u w:val="single"/>
        </w:rPr>
      </w:pPr>
      <w:r w:rsidRPr="006F1245">
        <w:rPr>
          <w:bCs/>
          <w:i/>
          <w:u w:val="single"/>
        </w:rPr>
        <w:t>LARGE LOCAL-SOURCE TSUNAMI</w:t>
      </w:r>
      <w:r>
        <w:rPr>
          <w:bCs/>
          <w:i/>
          <w:u w:val="single"/>
        </w:rPr>
        <w:t xml:space="preserve"> – Tsunami may arrive in 10-15 minutes</w:t>
      </w:r>
    </w:p>
    <w:p w:rsidR="006F1245" w:rsidRPr="006F1245" w:rsidRDefault="006F1245" w:rsidP="006F1245">
      <w:pPr>
        <w:pStyle w:val="ListParagraph"/>
        <w:numPr>
          <w:ilvl w:val="0"/>
          <w:numId w:val="1"/>
        </w:numPr>
      </w:pPr>
      <w:r w:rsidRPr="006F1245">
        <w:rPr>
          <w:bCs/>
          <w:u w:val="single"/>
        </w:rPr>
        <w:t>If you are on land or tied up at the dock:</w:t>
      </w:r>
      <w:r w:rsidRPr="006F1245">
        <w:rPr>
          <w:bCs/>
        </w:rPr>
        <w:t xml:space="preserve">  Leave your boat and go to high ground on foot as soon as possible.   You don’t have time to save your boat in this situation and could die if you try to do so.</w:t>
      </w:r>
    </w:p>
    <w:p w:rsidR="006F1245" w:rsidRPr="006F1245" w:rsidRDefault="006F1245" w:rsidP="006F1245">
      <w:pPr>
        <w:pStyle w:val="ListParagraph"/>
        <w:numPr>
          <w:ilvl w:val="0"/>
          <w:numId w:val="1"/>
        </w:numPr>
      </w:pPr>
      <w:r w:rsidRPr="006F1245">
        <w:rPr>
          <w:bCs/>
          <w:u w:val="single"/>
        </w:rPr>
        <w:t>If you are on the water but very near shore:</w:t>
      </w:r>
      <w:r w:rsidRPr="006F1245">
        <w:rPr>
          <w:bCs/>
        </w:rPr>
        <w:t xml:space="preserve">  If you can beach or dock your boat and get to high ground on foot within ten minutes of a Natural Warning</w:t>
      </w:r>
      <w:r>
        <w:rPr>
          <w:bCs/>
        </w:rPr>
        <w:t xml:space="preserve"> (ground shaking, receding water, etc.)</w:t>
      </w:r>
      <w:r w:rsidRPr="006F1245">
        <w:rPr>
          <w:bCs/>
        </w:rPr>
        <w:t>, then this is your best chance.  If that is not possible, head to deep water as quickly as possible.</w:t>
      </w:r>
    </w:p>
    <w:p w:rsidR="006F1245" w:rsidRPr="006F1245" w:rsidRDefault="006F1245" w:rsidP="006F1245">
      <w:pPr>
        <w:pStyle w:val="ListParagraph"/>
        <w:numPr>
          <w:ilvl w:val="0"/>
          <w:numId w:val="1"/>
        </w:numPr>
      </w:pPr>
      <w:r w:rsidRPr="006F1245">
        <w:rPr>
          <w:bCs/>
          <w:u w:val="single"/>
        </w:rPr>
        <w:t>If you are in deep water or very close to deep water:</w:t>
      </w:r>
      <w:r w:rsidRPr="006F1245">
        <w:rPr>
          <w:bCs/>
        </w:rPr>
        <w:t xml:space="preserve">  If you are already in 100 fathoms of water (600 feet) then you are safe from tsunamis.  If you are in deep water but not quite 100 fathoms, head to deeper water.</w:t>
      </w:r>
    </w:p>
    <w:p w:rsidR="008E34B6" w:rsidRDefault="006F1245">
      <w:pPr>
        <w:rPr>
          <w:i/>
          <w:u w:val="single"/>
        </w:rPr>
      </w:pPr>
      <w:r w:rsidRPr="006C66C9">
        <w:rPr>
          <w:i/>
          <w:u w:val="single"/>
        </w:rPr>
        <w:t xml:space="preserve">LARGE DISTANT-SOURCE TSUNAMI – Tsunami arrival </w:t>
      </w:r>
      <w:r w:rsidR="00D04AE3">
        <w:rPr>
          <w:i/>
          <w:u w:val="single"/>
        </w:rPr>
        <w:t>at least two</w:t>
      </w:r>
      <w:r w:rsidR="006C66C9" w:rsidRPr="006C66C9">
        <w:rPr>
          <w:i/>
          <w:u w:val="single"/>
        </w:rPr>
        <w:t>-hour</w:t>
      </w:r>
      <w:r w:rsidR="00D04AE3">
        <w:rPr>
          <w:i/>
          <w:u w:val="single"/>
        </w:rPr>
        <w:t>s</w:t>
      </w:r>
      <w:r w:rsidR="006C66C9" w:rsidRPr="006C66C9">
        <w:rPr>
          <w:i/>
          <w:u w:val="single"/>
        </w:rPr>
        <w:t xml:space="preserve"> away</w:t>
      </w:r>
    </w:p>
    <w:p w:rsidR="006C66C9" w:rsidRPr="006C66C9" w:rsidRDefault="006C66C9" w:rsidP="006C66C9">
      <w:pPr>
        <w:pStyle w:val="ListParagraph"/>
        <w:numPr>
          <w:ilvl w:val="0"/>
          <w:numId w:val="2"/>
        </w:numPr>
      </w:pPr>
      <w:r w:rsidRPr="006C66C9">
        <w:rPr>
          <w:bCs/>
          <w:u w:val="single"/>
        </w:rPr>
        <w:t>It is not recommended that boaters try to take their vessels offshore</w:t>
      </w:r>
      <w:r>
        <w:rPr>
          <w:bCs/>
        </w:rPr>
        <w:t xml:space="preserve"> before or during a tsunami.  I</w:t>
      </w:r>
      <w:r w:rsidRPr="006C66C9">
        <w:rPr>
          <w:bCs/>
        </w:rPr>
        <w:t>t is safer to keep your boat docked during a tsunami because most tsunamis are relatively small</w:t>
      </w:r>
      <w:r w:rsidR="002F6564">
        <w:rPr>
          <w:bCs/>
        </w:rPr>
        <w:t xml:space="preserve">, and </w:t>
      </w:r>
      <w:r>
        <w:rPr>
          <w:bCs/>
        </w:rPr>
        <w:t>your safety is more important than saving your property</w:t>
      </w:r>
      <w:r w:rsidR="002F6564">
        <w:rPr>
          <w:bCs/>
        </w:rPr>
        <w:t>/boat</w:t>
      </w:r>
      <w:r w:rsidRPr="006C66C9">
        <w:rPr>
          <w:bCs/>
        </w:rPr>
        <w:t xml:space="preserve">.  </w:t>
      </w:r>
    </w:p>
    <w:p w:rsidR="006C66C9" w:rsidRPr="006C66C9" w:rsidRDefault="006C66C9" w:rsidP="006C66C9">
      <w:pPr>
        <w:pStyle w:val="ListParagraph"/>
        <w:numPr>
          <w:ilvl w:val="0"/>
          <w:numId w:val="2"/>
        </w:numPr>
      </w:pPr>
      <w:r w:rsidRPr="006C66C9">
        <w:rPr>
          <w:bCs/>
        </w:rPr>
        <w:t xml:space="preserve">On the rare occasion when a larger tsunami is expected (Warning level), the boat owner </w:t>
      </w:r>
      <w:r>
        <w:rPr>
          <w:bCs/>
        </w:rPr>
        <w:t xml:space="preserve">may consider taking their boat offshore </w:t>
      </w:r>
      <w:r w:rsidRPr="006307F8">
        <w:rPr>
          <w:bCs/>
          <w:u w:val="single"/>
        </w:rPr>
        <w:t>considering the following criteria</w:t>
      </w:r>
      <w:r>
        <w:rPr>
          <w:bCs/>
        </w:rPr>
        <w:t>:</w:t>
      </w:r>
    </w:p>
    <w:p w:rsidR="000C62CB" w:rsidRPr="006C66C9" w:rsidRDefault="00220F55" w:rsidP="006C66C9">
      <w:pPr>
        <w:pStyle w:val="ListParagraph"/>
        <w:numPr>
          <w:ilvl w:val="1"/>
          <w:numId w:val="2"/>
        </w:numPr>
        <w:rPr>
          <w:bCs/>
        </w:rPr>
      </w:pPr>
      <w:r w:rsidRPr="006C66C9">
        <w:rPr>
          <w:bCs/>
        </w:rPr>
        <w:t>The SIZE of the tsunami.</w:t>
      </w:r>
    </w:p>
    <w:p w:rsidR="000C62CB" w:rsidRPr="006C66C9" w:rsidRDefault="00220F55" w:rsidP="006C66C9">
      <w:pPr>
        <w:pStyle w:val="ListParagraph"/>
        <w:numPr>
          <w:ilvl w:val="1"/>
          <w:numId w:val="2"/>
        </w:numPr>
        <w:rPr>
          <w:bCs/>
        </w:rPr>
      </w:pPr>
      <w:r w:rsidRPr="006C66C9">
        <w:rPr>
          <w:bCs/>
        </w:rPr>
        <w:t>How much TIME you have</w:t>
      </w:r>
      <w:r w:rsidR="003108F1">
        <w:rPr>
          <w:bCs/>
        </w:rPr>
        <w:t xml:space="preserve"> before the tsunami arrives</w:t>
      </w:r>
      <w:r w:rsidRPr="006C66C9">
        <w:rPr>
          <w:bCs/>
        </w:rPr>
        <w:t xml:space="preserve">. </w:t>
      </w:r>
    </w:p>
    <w:p w:rsidR="000C62CB" w:rsidRPr="006C66C9" w:rsidRDefault="00220F55" w:rsidP="006C66C9">
      <w:pPr>
        <w:pStyle w:val="ListParagraph"/>
        <w:numPr>
          <w:ilvl w:val="1"/>
          <w:numId w:val="2"/>
        </w:numPr>
        <w:rPr>
          <w:bCs/>
        </w:rPr>
      </w:pPr>
      <w:r w:rsidRPr="006C66C9">
        <w:rPr>
          <w:bCs/>
        </w:rPr>
        <w:t>The PREPAREDNESS of the boa</w:t>
      </w:r>
      <w:r w:rsidR="006C66C9">
        <w:rPr>
          <w:bCs/>
        </w:rPr>
        <w:t>t and EXPERIENCE of its captain</w:t>
      </w:r>
      <w:r w:rsidR="003108F1">
        <w:rPr>
          <w:bCs/>
        </w:rPr>
        <w:t xml:space="preserve"> to stay offshore for extended period of time (12-24 hours), or travel to safe, undamaged harbors</w:t>
      </w:r>
      <w:r w:rsidRPr="006C66C9">
        <w:rPr>
          <w:bCs/>
        </w:rPr>
        <w:t>.</w:t>
      </w:r>
    </w:p>
    <w:p w:rsidR="006C66C9" w:rsidRPr="006C66C9" w:rsidRDefault="00220F55" w:rsidP="006C66C9">
      <w:pPr>
        <w:pStyle w:val="ListParagraph"/>
        <w:numPr>
          <w:ilvl w:val="1"/>
          <w:numId w:val="2"/>
        </w:numPr>
        <w:rPr>
          <w:bCs/>
        </w:rPr>
      </w:pPr>
      <w:r w:rsidRPr="006C66C9">
        <w:rPr>
          <w:bCs/>
        </w:rPr>
        <w:t>The WEATHE</w:t>
      </w:r>
      <w:r w:rsidR="006C66C9">
        <w:rPr>
          <w:bCs/>
        </w:rPr>
        <w:t>R at sea could be as dangerous as the tsunami it</w:t>
      </w:r>
      <w:r w:rsidRPr="006C66C9">
        <w:rPr>
          <w:bCs/>
        </w:rPr>
        <w:t xml:space="preserve">self. </w:t>
      </w:r>
      <w:r w:rsidR="006C66C9" w:rsidRPr="006C66C9">
        <w:rPr>
          <w:bCs/>
        </w:rPr>
        <w:t xml:space="preserve">   </w:t>
      </w:r>
    </w:p>
    <w:p w:rsidR="006C66C9" w:rsidRPr="006307F8" w:rsidRDefault="006C66C9" w:rsidP="006C66C9">
      <w:pPr>
        <w:pStyle w:val="ListParagraph"/>
        <w:numPr>
          <w:ilvl w:val="0"/>
          <w:numId w:val="2"/>
        </w:numPr>
      </w:pPr>
      <w:r w:rsidRPr="006C66C9">
        <w:rPr>
          <w:bCs/>
        </w:rPr>
        <w:t xml:space="preserve">Do not go offshore unless you are very sure that you can get </w:t>
      </w:r>
      <w:r>
        <w:rPr>
          <w:bCs/>
        </w:rPr>
        <w:t xml:space="preserve">beyond the recommended </w:t>
      </w:r>
      <w:r w:rsidRPr="006307F8">
        <w:rPr>
          <w:bCs/>
          <w:u w:val="single"/>
        </w:rPr>
        <w:t>minimum safe depth</w:t>
      </w:r>
      <w:r w:rsidR="006307F8">
        <w:rPr>
          <w:bCs/>
        </w:rPr>
        <w:t xml:space="preserve"> at least 30 minutes</w:t>
      </w:r>
      <w:r>
        <w:rPr>
          <w:bCs/>
        </w:rPr>
        <w:t xml:space="preserve"> before the </w:t>
      </w:r>
      <w:r w:rsidRPr="006C66C9">
        <w:rPr>
          <w:bCs/>
        </w:rPr>
        <w:t>tsunami arrives.</w:t>
      </w:r>
      <w:r w:rsidR="006307F8">
        <w:rPr>
          <w:bCs/>
        </w:rPr>
        <w:t xml:space="preserve">  Please refer to the </w:t>
      </w:r>
      <w:r w:rsidR="00D04AE3">
        <w:rPr>
          <w:bCs/>
        </w:rPr>
        <w:t>T</w:t>
      </w:r>
      <w:r w:rsidR="006307F8">
        <w:rPr>
          <w:bCs/>
        </w:rPr>
        <w:t>able</w:t>
      </w:r>
      <w:r w:rsidR="00D04AE3">
        <w:rPr>
          <w:bCs/>
        </w:rPr>
        <w:t xml:space="preserve"> 1</w:t>
      </w:r>
      <w:r w:rsidR="006307F8">
        <w:rPr>
          <w:bCs/>
        </w:rPr>
        <w:t xml:space="preserve"> for the recommended minimum safe depth for your </w:t>
      </w:r>
      <w:r w:rsidR="00BD4429">
        <w:rPr>
          <w:bCs/>
        </w:rPr>
        <w:t xml:space="preserve">U.S. </w:t>
      </w:r>
      <w:r w:rsidR="006307F8">
        <w:rPr>
          <w:bCs/>
        </w:rPr>
        <w:t>state/territory/</w:t>
      </w:r>
      <w:r w:rsidR="00BD4429">
        <w:rPr>
          <w:bCs/>
        </w:rPr>
        <w:t xml:space="preserve"> </w:t>
      </w:r>
      <w:r w:rsidR="006307F8">
        <w:rPr>
          <w:bCs/>
        </w:rPr>
        <w:t>commonwealth or region.</w:t>
      </w:r>
    </w:p>
    <w:p w:rsidR="006307F8" w:rsidRPr="006307F8" w:rsidRDefault="006307F8" w:rsidP="006307F8">
      <w:pPr>
        <w:pStyle w:val="ListParagraph"/>
      </w:pPr>
    </w:p>
    <w:p w:rsidR="006307F8" w:rsidRPr="006307F8" w:rsidRDefault="006307F8" w:rsidP="006307F8">
      <w:pPr>
        <w:rPr>
          <w:b/>
          <w:bCs/>
          <w:u w:val="single"/>
        </w:rPr>
      </w:pPr>
      <w:r w:rsidRPr="006307F8">
        <w:rPr>
          <w:b/>
          <w:bCs/>
          <w:u w:val="single"/>
        </w:rPr>
        <w:t>General Recommendations</w:t>
      </w:r>
      <w:r>
        <w:rPr>
          <w:b/>
          <w:bCs/>
          <w:u w:val="single"/>
        </w:rPr>
        <w:t xml:space="preserve"> for Large Ships (cruise, cargo, tanker, </w:t>
      </w:r>
      <w:r w:rsidR="00D04AE3">
        <w:rPr>
          <w:b/>
          <w:bCs/>
          <w:u w:val="single"/>
        </w:rPr>
        <w:t xml:space="preserve">and </w:t>
      </w:r>
      <w:r>
        <w:rPr>
          <w:b/>
          <w:bCs/>
          <w:u w:val="single"/>
        </w:rPr>
        <w:t>military)</w:t>
      </w:r>
      <w:r w:rsidRPr="006307F8">
        <w:rPr>
          <w:b/>
          <w:bCs/>
          <w:u w:val="single"/>
        </w:rPr>
        <w:t>:</w:t>
      </w:r>
    </w:p>
    <w:p w:rsidR="006307F8" w:rsidRPr="006F1245" w:rsidRDefault="006307F8" w:rsidP="006307F8">
      <w:pPr>
        <w:rPr>
          <w:bCs/>
          <w:i/>
          <w:u w:val="single"/>
        </w:rPr>
      </w:pPr>
      <w:r w:rsidRPr="006F1245">
        <w:rPr>
          <w:bCs/>
          <w:i/>
          <w:u w:val="single"/>
        </w:rPr>
        <w:t>LARGE LOCAL-SOURCE TSUNAMI</w:t>
      </w:r>
      <w:r>
        <w:rPr>
          <w:bCs/>
          <w:i/>
          <w:u w:val="single"/>
        </w:rPr>
        <w:t xml:space="preserve"> – Tsunami may arrive in 10-15 minutes</w:t>
      </w:r>
    </w:p>
    <w:p w:rsidR="006307F8" w:rsidRDefault="00D04AE3" w:rsidP="006307F8">
      <w:r>
        <w:t>(</w:t>
      </w:r>
      <w:proofErr w:type="gramStart"/>
      <w:r>
        <w:t>recommendations</w:t>
      </w:r>
      <w:proofErr w:type="gramEnd"/>
      <w:r>
        <w:t xml:space="preserve"> from PR, others?)</w:t>
      </w:r>
    </w:p>
    <w:p w:rsidR="00D04AE3" w:rsidRDefault="00D04AE3" w:rsidP="006307F8">
      <w:pPr>
        <w:rPr>
          <w:i/>
          <w:u w:val="single"/>
        </w:rPr>
      </w:pPr>
    </w:p>
    <w:p w:rsidR="006307F8" w:rsidRDefault="006307F8" w:rsidP="006307F8">
      <w:pPr>
        <w:rPr>
          <w:i/>
          <w:u w:val="single"/>
        </w:rPr>
      </w:pPr>
      <w:r w:rsidRPr="006C66C9">
        <w:rPr>
          <w:i/>
          <w:u w:val="single"/>
        </w:rPr>
        <w:t xml:space="preserve">LARGE DISTANT-SOURCE TSUNAMI – Tsunami arrival </w:t>
      </w:r>
      <w:r w:rsidR="00D04AE3">
        <w:rPr>
          <w:i/>
          <w:u w:val="single"/>
        </w:rPr>
        <w:t>at least two</w:t>
      </w:r>
      <w:r w:rsidRPr="006C66C9">
        <w:rPr>
          <w:i/>
          <w:u w:val="single"/>
        </w:rPr>
        <w:t>-hour</w:t>
      </w:r>
      <w:r w:rsidR="00D04AE3">
        <w:rPr>
          <w:i/>
          <w:u w:val="single"/>
        </w:rPr>
        <w:t>s</w:t>
      </w:r>
      <w:r w:rsidRPr="006C66C9">
        <w:rPr>
          <w:i/>
          <w:u w:val="single"/>
        </w:rPr>
        <w:t xml:space="preserve"> away</w:t>
      </w:r>
    </w:p>
    <w:p w:rsidR="00D04AE3" w:rsidRDefault="00D04AE3" w:rsidP="00D04AE3">
      <w:r>
        <w:t>(recommendations from PR, others?)</w:t>
      </w:r>
    </w:p>
    <w:p w:rsidR="006307F8" w:rsidRDefault="006307F8" w:rsidP="006307F8"/>
    <w:p w:rsidR="006307F8" w:rsidRDefault="006307F8" w:rsidP="006307F8"/>
    <w:p w:rsidR="006307F8" w:rsidRDefault="006307F8" w:rsidP="006307F8"/>
    <w:p w:rsidR="006307F8" w:rsidRDefault="006307F8" w:rsidP="006307F8"/>
    <w:p w:rsidR="006307F8" w:rsidRPr="006307F8" w:rsidRDefault="00D04AE3" w:rsidP="006307F8">
      <w:r>
        <w:t>Table 1:  Specific guidance for minimum offshore safe depths for maritime vessel evacuation prior to a tsunamis’ arrival.</w:t>
      </w:r>
    </w:p>
    <w:tbl>
      <w:tblPr>
        <w:tblW w:w="9710" w:type="dxa"/>
        <w:tblCellMar>
          <w:left w:w="0" w:type="dxa"/>
          <w:right w:w="0" w:type="dxa"/>
        </w:tblCellMar>
        <w:tblLook w:val="0420" w:firstRow="1" w:lastRow="0" w:firstColumn="0" w:lastColumn="0" w:noHBand="0" w:noVBand="1"/>
      </w:tblPr>
      <w:tblGrid>
        <w:gridCol w:w="1970"/>
        <w:gridCol w:w="1800"/>
        <w:gridCol w:w="1890"/>
        <w:gridCol w:w="4050"/>
      </w:tblGrid>
      <w:tr w:rsidR="006307F8" w:rsidRPr="006307F8" w:rsidTr="00BD4429">
        <w:trPr>
          <w:trHeight w:val="20"/>
        </w:trPr>
        <w:tc>
          <w:tcPr>
            <w:tcW w:w="197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6307F8" w:rsidRPr="006307F8" w:rsidRDefault="006307F8" w:rsidP="006307F8">
            <w:pPr>
              <w:jc w:val="center"/>
            </w:pPr>
            <w:r w:rsidRPr="006307F8">
              <w:rPr>
                <w:b/>
                <w:bCs/>
              </w:rPr>
              <w:t>State/Territory</w:t>
            </w:r>
          </w:p>
        </w:tc>
        <w:tc>
          <w:tcPr>
            <w:tcW w:w="18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6307F8" w:rsidRPr="006307F8" w:rsidRDefault="006307F8" w:rsidP="006307F8">
            <w:pPr>
              <w:jc w:val="center"/>
            </w:pPr>
            <w:r w:rsidRPr="006307F8">
              <w:rPr>
                <w:b/>
                <w:bCs/>
              </w:rPr>
              <w:t>Distant Source (ships in harbor)</w:t>
            </w:r>
          </w:p>
        </w:tc>
        <w:tc>
          <w:tcPr>
            <w:tcW w:w="18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6307F8" w:rsidRPr="006307F8" w:rsidRDefault="006307F8" w:rsidP="006307F8">
            <w:pPr>
              <w:jc w:val="center"/>
            </w:pPr>
            <w:r w:rsidRPr="006307F8">
              <w:rPr>
                <w:b/>
                <w:bCs/>
              </w:rPr>
              <w:t>Local Source (ships at sea)</w:t>
            </w:r>
          </w:p>
        </w:tc>
        <w:tc>
          <w:tcPr>
            <w:tcW w:w="405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6307F8" w:rsidRPr="006307F8" w:rsidRDefault="006307F8" w:rsidP="006307F8">
            <w:pPr>
              <w:jc w:val="center"/>
            </w:pPr>
            <w:r w:rsidRPr="006307F8">
              <w:rPr>
                <w:b/>
                <w:bCs/>
              </w:rPr>
              <w:t>Notes</w:t>
            </w:r>
          </w:p>
        </w:tc>
      </w:tr>
      <w:tr w:rsidR="006307F8" w:rsidRPr="006307F8" w:rsidTr="00BD4429">
        <w:trPr>
          <w:trHeight w:val="20"/>
        </w:trPr>
        <w:tc>
          <w:tcPr>
            <w:tcW w:w="197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California</w:t>
            </w:r>
          </w:p>
        </w:tc>
        <w:tc>
          <w:tcPr>
            <w:tcW w:w="18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30 fathoms</w:t>
            </w:r>
          </w:p>
        </w:tc>
        <w:tc>
          <w:tcPr>
            <w:tcW w:w="18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100 fathoms</w:t>
            </w:r>
          </w:p>
        </w:tc>
        <w:tc>
          <w:tcPr>
            <w:tcW w:w="405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Evaluated; following Oregon recom</w:t>
            </w:r>
            <w:r>
              <w:t>m</w:t>
            </w:r>
            <w:r w:rsidRPr="006307F8">
              <w:t>endation for local source</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Oregon</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30 fathoms</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100 fathoms</w:t>
            </w:r>
          </w:p>
        </w:tc>
        <w:tc>
          <w:tcPr>
            <w:tcW w:w="40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Evaluated</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Hawaii</w:t>
            </w:r>
          </w:p>
        </w:tc>
        <w:tc>
          <w:tcPr>
            <w:tcW w:w="18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50 fathoms</w:t>
            </w:r>
          </w:p>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40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Evaluated; implemented in Coast Guard plan in some locations</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Alaska</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tc>
        <w:tc>
          <w:tcPr>
            <w:tcW w:w="40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Still evaluating</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Washington</w:t>
            </w:r>
          </w:p>
        </w:tc>
        <w:tc>
          <w:tcPr>
            <w:tcW w:w="18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40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Still evaluating; forming state harbor advisory group</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Caribbean</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50 fathoms</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50 fathoms</w:t>
            </w:r>
          </w:p>
        </w:tc>
        <w:tc>
          <w:tcPr>
            <w:tcW w:w="40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General recommendation</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Gulf Coast</w:t>
            </w:r>
          </w:p>
        </w:tc>
        <w:tc>
          <w:tcPr>
            <w:tcW w:w="18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40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Still evaluating</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East Coast</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tc>
        <w:tc>
          <w:tcPr>
            <w:tcW w:w="40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Still evaluating</w:t>
            </w:r>
            <w:r w:rsidR="002F6564">
              <w:t>; issues with long, shallow shelf complicate getting far offshore</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American Samoa</w:t>
            </w:r>
          </w:p>
        </w:tc>
        <w:tc>
          <w:tcPr>
            <w:tcW w:w="18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40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Evaluating, guidance from others</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Guam</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2F6564" w:rsidP="006307F8">
            <w:r>
              <w:t>(50 fathoms)</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2F6564" w:rsidP="006307F8">
            <w:r>
              <w:t>(100 fathoms)</w:t>
            </w:r>
          </w:p>
        </w:tc>
        <w:tc>
          <w:tcPr>
            <w:tcW w:w="405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6307F8" w:rsidRPr="006307F8" w:rsidRDefault="006307F8" w:rsidP="006307F8">
            <w:r w:rsidRPr="006307F8">
              <w:t>Evaluating, guidance from others</w:t>
            </w:r>
          </w:p>
        </w:tc>
      </w:tr>
      <w:tr w:rsidR="006307F8" w:rsidRPr="006307F8" w:rsidTr="00BD4429">
        <w:trPr>
          <w:trHeight w:val="20"/>
        </w:trPr>
        <w:tc>
          <w:tcPr>
            <w:tcW w:w="19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CNMI</w:t>
            </w:r>
          </w:p>
        </w:tc>
        <w:tc>
          <w:tcPr>
            <w:tcW w:w="18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18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tc>
        <w:tc>
          <w:tcPr>
            <w:tcW w:w="405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6307F8" w:rsidRPr="006307F8" w:rsidRDefault="006307F8" w:rsidP="006307F8">
            <w:r w:rsidRPr="006307F8">
              <w:t>Evaluating, guidance from others</w:t>
            </w:r>
          </w:p>
        </w:tc>
      </w:tr>
    </w:tbl>
    <w:p w:rsidR="006307F8" w:rsidRPr="006C66C9" w:rsidRDefault="006307F8" w:rsidP="006307F8"/>
    <w:p w:rsidR="006C66C9" w:rsidRPr="006C66C9" w:rsidRDefault="006C66C9"/>
    <w:sectPr w:rsidR="006C66C9" w:rsidRPr="006C66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FE" w:rsidRDefault="008301FE" w:rsidP="00BD4429">
      <w:pPr>
        <w:spacing w:after="0" w:line="240" w:lineRule="auto"/>
      </w:pPr>
      <w:r>
        <w:separator/>
      </w:r>
    </w:p>
  </w:endnote>
  <w:endnote w:type="continuationSeparator" w:id="0">
    <w:p w:rsidR="008301FE" w:rsidRDefault="008301FE" w:rsidP="00BD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29" w:rsidRDefault="00BD4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29" w:rsidRDefault="00BD4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29" w:rsidRDefault="00BD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FE" w:rsidRDefault="008301FE" w:rsidP="00BD4429">
      <w:pPr>
        <w:spacing w:after="0" w:line="240" w:lineRule="auto"/>
      </w:pPr>
      <w:r>
        <w:separator/>
      </w:r>
    </w:p>
  </w:footnote>
  <w:footnote w:type="continuationSeparator" w:id="0">
    <w:p w:rsidR="008301FE" w:rsidRDefault="008301FE" w:rsidP="00BD4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29" w:rsidRDefault="00AD6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3860" o:spid="_x0000_s2050"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29" w:rsidRDefault="00AD6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3861" o:spid="_x0000_s2051" type="#_x0000_t136" style="position:absolute;margin-left:0;margin-top:0;width:412.4pt;height:247.45pt;rotation:315;z-index:-251653120;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29" w:rsidRDefault="00AD6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3859" o:spid="_x0000_s2049"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816"/>
    <w:multiLevelType w:val="hybridMultilevel"/>
    <w:tmpl w:val="33E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56E61"/>
    <w:multiLevelType w:val="hybridMultilevel"/>
    <w:tmpl w:val="A816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F0F60"/>
    <w:multiLevelType w:val="hybridMultilevel"/>
    <w:tmpl w:val="24E02636"/>
    <w:lvl w:ilvl="0" w:tplc="717886A0">
      <w:start w:val="1"/>
      <w:numFmt w:val="decimal"/>
      <w:lvlText w:val="%1)"/>
      <w:lvlJc w:val="left"/>
      <w:pPr>
        <w:tabs>
          <w:tab w:val="num" w:pos="720"/>
        </w:tabs>
        <w:ind w:left="720" w:hanging="360"/>
      </w:pPr>
    </w:lvl>
    <w:lvl w:ilvl="1" w:tplc="15781FE4" w:tentative="1">
      <w:start w:val="1"/>
      <w:numFmt w:val="decimal"/>
      <w:lvlText w:val="%2)"/>
      <w:lvlJc w:val="left"/>
      <w:pPr>
        <w:tabs>
          <w:tab w:val="num" w:pos="1440"/>
        </w:tabs>
        <w:ind w:left="1440" w:hanging="360"/>
      </w:pPr>
    </w:lvl>
    <w:lvl w:ilvl="2" w:tplc="BFCEC890" w:tentative="1">
      <w:start w:val="1"/>
      <w:numFmt w:val="decimal"/>
      <w:lvlText w:val="%3)"/>
      <w:lvlJc w:val="left"/>
      <w:pPr>
        <w:tabs>
          <w:tab w:val="num" w:pos="2160"/>
        </w:tabs>
        <w:ind w:left="2160" w:hanging="360"/>
      </w:pPr>
    </w:lvl>
    <w:lvl w:ilvl="3" w:tplc="CE4CEE38" w:tentative="1">
      <w:start w:val="1"/>
      <w:numFmt w:val="decimal"/>
      <w:lvlText w:val="%4)"/>
      <w:lvlJc w:val="left"/>
      <w:pPr>
        <w:tabs>
          <w:tab w:val="num" w:pos="2880"/>
        </w:tabs>
        <w:ind w:left="2880" w:hanging="360"/>
      </w:pPr>
    </w:lvl>
    <w:lvl w:ilvl="4" w:tplc="9D4ACB26" w:tentative="1">
      <w:start w:val="1"/>
      <w:numFmt w:val="decimal"/>
      <w:lvlText w:val="%5)"/>
      <w:lvlJc w:val="left"/>
      <w:pPr>
        <w:tabs>
          <w:tab w:val="num" w:pos="3600"/>
        </w:tabs>
        <w:ind w:left="3600" w:hanging="360"/>
      </w:pPr>
    </w:lvl>
    <w:lvl w:ilvl="5" w:tplc="F26015C2" w:tentative="1">
      <w:start w:val="1"/>
      <w:numFmt w:val="decimal"/>
      <w:lvlText w:val="%6)"/>
      <w:lvlJc w:val="left"/>
      <w:pPr>
        <w:tabs>
          <w:tab w:val="num" w:pos="4320"/>
        </w:tabs>
        <w:ind w:left="4320" w:hanging="360"/>
      </w:pPr>
    </w:lvl>
    <w:lvl w:ilvl="6" w:tplc="156629EE" w:tentative="1">
      <w:start w:val="1"/>
      <w:numFmt w:val="decimal"/>
      <w:lvlText w:val="%7)"/>
      <w:lvlJc w:val="left"/>
      <w:pPr>
        <w:tabs>
          <w:tab w:val="num" w:pos="5040"/>
        </w:tabs>
        <w:ind w:left="5040" w:hanging="360"/>
      </w:pPr>
    </w:lvl>
    <w:lvl w:ilvl="7" w:tplc="DB7002D2" w:tentative="1">
      <w:start w:val="1"/>
      <w:numFmt w:val="decimal"/>
      <w:lvlText w:val="%8)"/>
      <w:lvlJc w:val="left"/>
      <w:pPr>
        <w:tabs>
          <w:tab w:val="num" w:pos="5760"/>
        </w:tabs>
        <w:ind w:left="5760" w:hanging="360"/>
      </w:pPr>
    </w:lvl>
    <w:lvl w:ilvl="8" w:tplc="B0C034C0"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45"/>
    <w:rsid w:val="000C62CB"/>
    <w:rsid w:val="00220F55"/>
    <w:rsid w:val="002F6564"/>
    <w:rsid w:val="003108F1"/>
    <w:rsid w:val="006307F8"/>
    <w:rsid w:val="006C66C9"/>
    <w:rsid w:val="006F1245"/>
    <w:rsid w:val="008301FE"/>
    <w:rsid w:val="008E34B6"/>
    <w:rsid w:val="00AD617E"/>
    <w:rsid w:val="00BD4429"/>
    <w:rsid w:val="00D0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45"/>
    <w:pPr>
      <w:ind w:left="720"/>
      <w:contextualSpacing/>
    </w:pPr>
  </w:style>
  <w:style w:type="paragraph" w:styleId="Header">
    <w:name w:val="header"/>
    <w:basedOn w:val="Normal"/>
    <w:link w:val="HeaderChar"/>
    <w:uiPriority w:val="99"/>
    <w:unhideWhenUsed/>
    <w:rsid w:val="00BD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29"/>
  </w:style>
  <w:style w:type="paragraph" w:styleId="Footer">
    <w:name w:val="footer"/>
    <w:basedOn w:val="Normal"/>
    <w:link w:val="FooterChar"/>
    <w:uiPriority w:val="99"/>
    <w:unhideWhenUsed/>
    <w:rsid w:val="00BD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45"/>
    <w:pPr>
      <w:ind w:left="720"/>
      <w:contextualSpacing/>
    </w:pPr>
  </w:style>
  <w:style w:type="paragraph" w:styleId="Header">
    <w:name w:val="header"/>
    <w:basedOn w:val="Normal"/>
    <w:link w:val="HeaderChar"/>
    <w:uiPriority w:val="99"/>
    <w:unhideWhenUsed/>
    <w:rsid w:val="00BD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29"/>
  </w:style>
  <w:style w:type="paragraph" w:styleId="Footer">
    <w:name w:val="footer"/>
    <w:basedOn w:val="Normal"/>
    <w:link w:val="FooterChar"/>
    <w:uiPriority w:val="99"/>
    <w:unhideWhenUsed/>
    <w:rsid w:val="00BD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8245">
      <w:bodyDiv w:val="1"/>
      <w:marLeft w:val="0"/>
      <w:marRight w:val="0"/>
      <w:marTop w:val="0"/>
      <w:marBottom w:val="0"/>
      <w:divBdr>
        <w:top w:val="none" w:sz="0" w:space="0" w:color="auto"/>
        <w:left w:val="none" w:sz="0" w:space="0" w:color="auto"/>
        <w:bottom w:val="none" w:sz="0" w:space="0" w:color="auto"/>
        <w:right w:val="none" w:sz="0" w:space="0" w:color="auto"/>
      </w:divBdr>
    </w:div>
    <w:div w:id="565577296">
      <w:bodyDiv w:val="1"/>
      <w:marLeft w:val="0"/>
      <w:marRight w:val="0"/>
      <w:marTop w:val="0"/>
      <w:marBottom w:val="0"/>
      <w:divBdr>
        <w:top w:val="none" w:sz="0" w:space="0" w:color="auto"/>
        <w:left w:val="none" w:sz="0" w:space="0" w:color="auto"/>
        <w:bottom w:val="none" w:sz="0" w:space="0" w:color="auto"/>
        <w:right w:val="none" w:sz="0" w:space="0" w:color="auto"/>
      </w:divBdr>
    </w:div>
    <w:div w:id="1072312584">
      <w:bodyDiv w:val="1"/>
      <w:marLeft w:val="0"/>
      <w:marRight w:val="0"/>
      <w:marTop w:val="0"/>
      <w:marBottom w:val="0"/>
      <w:divBdr>
        <w:top w:val="none" w:sz="0" w:space="0" w:color="auto"/>
        <w:left w:val="none" w:sz="0" w:space="0" w:color="auto"/>
        <w:bottom w:val="none" w:sz="0" w:space="0" w:color="auto"/>
        <w:right w:val="none" w:sz="0" w:space="0" w:color="auto"/>
      </w:divBdr>
      <w:divsChild>
        <w:div w:id="303197464">
          <w:marLeft w:val="360"/>
          <w:marRight w:val="0"/>
          <w:marTop w:val="40"/>
          <w:marBottom w:val="0"/>
          <w:divBdr>
            <w:top w:val="none" w:sz="0" w:space="0" w:color="auto"/>
            <w:left w:val="none" w:sz="0" w:space="0" w:color="auto"/>
            <w:bottom w:val="none" w:sz="0" w:space="0" w:color="auto"/>
            <w:right w:val="none" w:sz="0" w:space="0" w:color="auto"/>
          </w:divBdr>
        </w:div>
        <w:div w:id="23724163">
          <w:marLeft w:val="360"/>
          <w:marRight w:val="0"/>
          <w:marTop w:val="40"/>
          <w:marBottom w:val="0"/>
          <w:divBdr>
            <w:top w:val="none" w:sz="0" w:space="0" w:color="auto"/>
            <w:left w:val="none" w:sz="0" w:space="0" w:color="auto"/>
            <w:bottom w:val="none" w:sz="0" w:space="0" w:color="auto"/>
            <w:right w:val="none" w:sz="0" w:space="0" w:color="auto"/>
          </w:divBdr>
        </w:div>
        <w:div w:id="1973825235">
          <w:marLeft w:val="360"/>
          <w:marRight w:val="0"/>
          <w:marTop w:val="40"/>
          <w:marBottom w:val="0"/>
          <w:divBdr>
            <w:top w:val="none" w:sz="0" w:space="0" w:color="auto"/>
            <w:left w:val="none" w:sz="0" w:space="0" w:color="auto"/>
            <w:bottom w:val="none" w:sz="0" w:space="0" w:color="auto"/>
            <w:right w:val="none" w:sz="0" w:space="0" w:color="auto"/>
          </w:divBdr>
        </w:div>
        <w:div w:id="823744563">
          <w:marLeft w:val="360"/>
          <w:marRight w:val="0"/>
          <w:marTop w:val="40"/>
          <w:marBottom w:val="0"/>
          <w:divBdr>
            <w:top w:val="none" w:sz="0" w:space="0" w:color="auto"/>
            <w:left w:val="none" w:sz="0" w:space="0" w:color="auto"/>
            <w:bottom w:val="none" w:sz="0" w:space="0" w:color="auto"/>
            <w:right w:val="none" w:sz="0" w:space="0" w:color="auto"/>
          </w:divBdr>
        </w:div>
      </w:divsChild>
    </w:div>
    <w:div w:id="14023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Rick@DOC</dc:creator>
  <cp:lastModifiedBy>Rocky Lopes</cp:lastModifiedBy>
  <cp:revision>2</cp:revision>
  <dcterms:created xsi:type="dcterms:W3CDTF">2015-07-06T12:02:00Z</dcterms:created>
  <dcterms:modified xsi:type="dcterms:W3CDTF">2015-07-06T12:02:00Z</dcterms:modified>
</cp:coreProperties>
</file>